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7BB7757F"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941AFF" w:rsidRPr="00941AFF">
        <w:rPr>
          <w:rFonts w:ascii="Arial" w:hAnsi="Arial" w:cs="Arial"/>
          <w:b/>
          <w:bCs/>
        </w:rPr>
        <w:t>Piesok kremičitý a piesok zlievarenský</w:t>
      </w:r>
    </w:p>
    <w:p w14:paraId="103A3C7E" w14:textId="2F179ACE"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941AFF">
        <w:rPr>
          <w:rFonts w:ascii="Arial" w:hAnsi="Arial" w:cs="Arial"/>
          <w:sz w:val="20"/>
          <w:szCs w:val="20"/>
        </w:rPr>
        <w:t>2411</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F572" w14:textId="77777777" w:rsidR="00814337" w:rsidRDefault="00814337" w:rsidP="00194728">
      <w:pPr>
        <w:spacing w:after="0" w:line="240" w:lineRule="auto"/>
      </w:pPr>
      <w:r>
        <w:separator/>
      </w:r>
    </w:p>
  </w:endnote>
  <w:endnote w:type="continuationSeparator" w:id="0">
    <w:p w14:paraId="17C757CA" w14:textId="77777777" w:rsidR="00814337" w:rsidRDefault="00814337"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07EB" w14:textId="77777777" w:rsidR="00814337" w:rsidRDefault="00814337" w:rsidP="00194728">
      <w:pPr>
        <w:spacing w:after="0" w:line="240" w:lineRule="auto"/>
      </w:pPr>
      <w:r>
        <w:separator/>
      </w:r>
    </w:p>
  </w:footnote>
  <w:footnote w:type="continuationSeparator" w:id="0">
    <w:p w14:paraId="37E3C2ED" w14:textId="77777777" w:rsidR="00814337" w:rsidRDefault="00814337"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500FF"/>
    <w:rsid w:val="0026034C"/>
    <w:rsid w:val="00267D38"/>
    <w:rsid w:val="002C016F"/>
    <w:rsid w:val="002C66EB"/>
    <w:rsid w:val="002F540E"/>
    <w:rsid w:val="00343748"/>
    <w:rsid w:val="003A585F"/>
    <w:rsid w:val="003A5B49"/>
    <w:rsid w:val="003B0E68"/>
    <w:rsid w:val="003B645F"/>
    <w:rsid w:val="003C6DD1"/>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81433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41AFF"/>
    <w:rsid w:val="00972D8E"/>
    <w:rsid w:val="009736FA"/>
    <w:rsid w:val="0098563C"/>
    <w:rsid w:val="009A114C"/>
    <w:rsid w:val="009A47D3"/>
    <w:rsid w:val="009C7993"/>
    <w:rsid w:val="00A03C1B"/>
    <w:rsid w:val="00A61477"/>
    <w:rsid w:val="00A97210"/>
    <w:rsid w:val="00AC4565"/>
    <w:rsid w:val="00B36E39"/>
    <w:rsid w:val="00B86D01"/>
    <w:rsid w:val="00BD6FCF"/>
    <w:rsid w:val="00C637DE"/>
    <w:rsid w:val="00C7210E"/>
    <w:rsid w:val="00CA2A3C"/>
    <w:rsid w:val="00CC2818"/>
    <w:rsid w:val="00CC3712"/>
    <w:rsid w:val="00D129E7"/>
    <w:rsid w:val="00D327C0"/>
    <w:rsid w:val="00D34F29"/>
    <w:rsid w:val="00D41750"/>
    <w:rsid w:val="00DB2ED0"/>
    <w:rsid w:val="00DB70EF"/>
    <w:rsid w:val="00E80B1D"/>
    <w:rsid w:val="00E94574"/>
    <w:rsid w:val="00E97206"/>
    <w:rsid w:val="00EC0449"/>
    <w:rsid w:val="00EC0C94"/>
    <w:rsid w:val="00F00665"/>
    <w:rsid w:val="00F21890"/>
    <w:rsid w:val="00F35DAF"/>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Ráceková Ľubica</cp:lastModifiedBy>
  <cp:revision>2</cp:revision>
  <cp:lastPrinted>2018-01-24T14:30:00Z</cp:lastPrinted>
  <dcterms:created xsi:type="dcterms:W3CDTF">2025-02-24T08:30:00Z</dcterms:created>
  <dcterms:modified xsi:type="dcterms:W3CDTF">2025-02-24T08:30:00Z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